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9B38" w14:textId="56DDEBD1" w:rsidR="00F7701B" w:rsidRPr="0065280A" w:rsidRDefault="00493192" w:rsidP="00D5155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FiberLert™ Canlı Fiber Dedektörü</w:t>
      </w:r>
    </w:p>
    <w:p w14:paraId="68937FC5" w14:textId="77777777" w:rsidR="00F7701B" w:rsidRPr="0065280A" w:rsidRDefault="00F7701B" w:rsidP="00F7701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9607"/>
      </w:tblGrid>
      <w:tr w:rsidR="00F7701B" w:rsidRPr="0065280A" w14:paraId="09734699" w14:textId="77777777" w:rsidTr="7DCEF6D4">
        <w:trPr>
          <w:trHeight w:val="570"/>
        </w:trPr>
        <w:tc>
          <w:tcPr>
            <w:tcW w:w="5000" w:type="pct"/>
            <w:gridSpan w:val="2"/>
            <w:shd w:val="clear" w:color="auto" w:fill="auto"/>
          </w:tcPr>
          <w:p w14:paraId="655975AE" w14:textId="77777777" w:rsidR="00493192" w:rsidRPr="0065280A" w:rsidRDefault="00493192" w:rsidP="004931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FiberLert™ Canlı Fiber Dedektörü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06BF0F5A" w14:textId="74A941B7" w:rsidR="00B472C4" w:rsidRPr="0065280A" w:rsidRDefault="00493192" w:rsidP="009F3FE5">
            <w:pPr>
              <w:rPr>
                <w:i/>
                <w:sz w:val="20"/>
                <w:szCs w:val="20"/>
                <w:rFonts w:eastAsia="MS Mincho"/>
              </w:rPr>
            </w:pPr>
            <w:r>
              <w:rPr>
                <w:i/>
                <w:sz w:val="20"/>
                <w:szCs w:val="20"/>
              </w:rPr>
              <w:t xml:space="preserve">Pratik, Kompakt Fiber Sorun Giderme Cihazı</w:t>
            </w:r>
          </w:p>
          <w:p w14:paraId="2BA2390C" w14:textId="14385031" w:rsidR="00325F51" w:rsidRPr="0065280A" w:rsidRDefault="00325F51" w:rsidP="009F3FE5">
            <w:pPr>
              <w:rPr>
                <w:sz w:val="20"/>
                <w:szCs w:val="20"/>
                <w:rFonts w:eastAsia="MS Mincho"/>
              </w:rPr>
            </w:pPr>
            <w:r>
              <w:rPr>
                <w:sz w:val="20"/>
                <w:szCs w:val="20"/>
              </w:rPr>
              <w:t xml:space="preserve">Model Numarası: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FIBERLERT-125</w:t>
            </w:r>
          </w:p>
        </w:tc>
      </w:tr>
      <w:tr w:rsidR="00F7701B" w:rsidRPr="0065280A" w14:paraId="28BCB3D6" w14:textId="77777777" w:rsidTr="7DCEF6D4">
        <w:trPr>
          <w:trHeight w:val="206"/>
        </w:trPr>
        <w:tc>
          <w:tcPr>
            <w:tcW w:w="548" w:type="pct"/>
            <w:shd w:val="clear" w:color="auto" w:fill="auto"/>
          </w:tcPr>
          <w:p w14:paraId="266808C4" w14:textId="77777777" w:rsidR="00F7701B" w:rsidRPr="0065280A" w:rsidRDefault="00F7701B" w:rsidP="00DF4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kelime</w:t>
            </w:r>
          </w:p>
        </w:tc>
        <w:tc>
          <w:tcPr>
            <w:tcW w:w="4452" w:type="pct"/>
            <w:shd w:val="clear" w:color="auto" w:fill="auto"/>
          </w:tcPr>
          <w:p w14:paraId="00250EFD" w14:textId="49BE3DB2" w:rsidR="00F7701B" w:rsidRPr="00D30A33" w:rsidRDefault="00493192" w:rsidP="00920E7A">
            <w:pPr>
              <w:rPr>
                <w:sz w:val="20"/>
                <w:szCs w:val="20"/>
                <w:rFonts w:eastAsia="MS Mincho"/>
              </w:rPr>
            </w:pPr>
            <w:r>
              <w:rPr>
                <w:sz w:val="20"/>
                <w:szCs w:val="20"/>
              </w:rPr>
              <w:t xml:space="preserve">Bağlantı noktalarını, kabloları ve polaritenin test edilmesine yönelik aktif fiber sinyalleri tespit eder.</w:t>
            </w:r>
          </w:p>
        </w:tc>
      </w:tr>
      <w:tr w:rsidR="00F7701B" w:rsidRPr="0065280A" w14:paraId="228CDCEC" w14:textId="77777777" w:rsidTr="7DCEF6D4">
        <w:trPr>
          <w:trHeight w:val="405"/>
        </w:trPr>
        <w:tc>
          <w:tcPr>
            <w:tcW w:w="548" w:type="pct"/>
            <w:shd w:val="clear" w:color="auto" w:fill="auto"/>
          </w:tcPr>
          <w:p w14:paraId="6A4BEDDC" w14:textId="77777777" w:rsidR="00F7701B" w:rsidRPr="0065280A" w:rsidRDefault="00F7701B" w:rsidP="00DF4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kelime</w:t>
            </w:r>
          </w:p>
        </w:tc>
        <w:tc>
          <w:tcPr>
            <w:tcW w:w="4452" w:type="pct"/>
            <w:shd w:val="clear" w:color="auto" w:fill="auto"/>
          </w:tcPr>
          <w:p w14:paraId="7DF10655" w14:textId="0FA3FA99" w:rsidR="00F7701B" w:rsidRPr="00D30A33" w:rsidRDefault="00005A00" w:rsidP="2CEDA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FiberLert™ Canlı Fiber Dedektörü, fiber etkinliğini, etkin kablolardaki polariteyi ve bağlantıyı hızlıca kontrol etmenize imkan tanır.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Cep boyutundaki bu araç, tekli mod, çoklu mod UPC ve APC ara kablolarını ve bağlantı noktalarını kontrol eder.</w:t>
            </w:r>
          </w:p>
        </w:tc>
      </w:tr>
      <w:tr w:rsidR="00F7701B" w:rsidRPr="0065280A" w14:paraId="461AD878" w14:textId="77777777" w:rsidTr="7DCEF6D4">
        <w:trPr>
          <w:trHeight w:val="719"/>
        </w:trPr>
        <w:tc>
          <w:tcPr>
            <w:tcW w:w="548" w:type="pct"/>
            <w:shd w:val="clear" w:color="auto" w:fill="auto"/>
          </w:tcPr>
          <w:p w14:paraId="11040EE5" w14:textId="77777777" w:rsidR="00F7701B" w:rsidRPr="00D30A33" w:rsidRDefault="00F7701B" w:rsidP="00DF4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kelime</w:t>
            </w:r>
          </w:p>
        </w:tc>
        <w:tc>
          <w:tcPr>
            <w:tcW w:w="4452" w:type="pct"/>
            <w:shd w:val="clear" w:color="auto" w:fill="auto"/>
          </w:tcPr>
          <w:p w14:paraId="63BC33C4" w14:textId="688D4340" w:rsidR="00F7701B" w:rsidRPr="00D30A33" w:rsidRDefault="002E65E0" w:rsidP="2CEDA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etkinliği, polariteyi ve bağlantıyı hızlıca kontrol edin.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Kurulum veya yorumlama gerektirmez. Fiber uç yüzünün veya bağlantı noktasının önüne yerleştirin. Işık ve ses etkin fiberi işaret eder.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Cep boyutundaki bu araç, "temassız" / kirletici olmayan dedektör kullanarak tekli mod, çoklu mod UPC ve APC ara kablolarını ve bağlantı noktalarını kontrol eder</w:t>
            </w:r>
          </w:p>
        </w:tc>
      </w:tr>
      <w:tr w:rsidR="00DA6D37" w:rsidRPr="0065280A" w14:paraId="1AFAB5EB" w14:textId="77777777" w:rsidTr="7DCEF6D4">
        <w:trPr>
          <w:trHeight w:val="1440"/>
        </w:trPr>
        <w:tc>
          <w:tcPr>
            <w:tcW w:w="548" w:type="pct"/>
            <w:shd w:val="clear" w:color="auto" w:fill="auto"/>
          </w:tcPr>
          <w:p w14:paraId="0EEF4D83" w14:textId="77777777" w:rsidR="00DA6D37" w:rsidRPr="00D30A33" w:rsidRDefault="00DA6D37" w:rsidP="00DA6D37">
            <w:pPr>
              <w:rPr>
                <w:sz w:val="20"/>
                <w:szCs w:val="20"/>
              </w:rPr>
            </w:pPr>
            <w:bookmarkStart w:id="0" w:name="_Hlk51938839"/>
            <w:bookmarkStart w:id="1" w:name="_Hlk79003164"/>
            <w:r>
              <w:rPr>
                <w:sz w:val="20"/>
                <w:szCs w:val="20"/>
              </w:rPr>
              <w:t xml:space="preserve">100 kelime</w:t>
            </w:r>
          </w:p>
        </w:tc>
        <w:tc>
          <w:tcPr>
            <w:tcW w:w="4452" w:type="pct"/>
            <w:shd w:val="clear" w:color="auto" w:fill="auto"/>
          </w:tcPr>
          <w:p w14:paraId="0D7D4CDF" w14:textId="3463FB98" w:rsidR="00DA6D37" w:rsidRPr="00D30A33" w:rsidRDefault="000D62F9" w:rsidP="2CEDA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 etkinliği, polariteyi ve bağlantıyı hızlıca kontrol edin.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Fiber uç yüzünün veya bağlantı noktasının önüne yerleştirin; bir ışık ve ses etkin fiberi (850 nm - 1.625 nm) belirtir. Kurulum veya yorumlama gerektirmez.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Cep boyutundaki bu araç, "temassız" / kirletici olmayan dedektör ile tekli mod, çoklu mod UPC ve APC ara kablolarını ve bağlantı noktalarını kontrol eder.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LightBeat™ özelliği LED'i yakarak çalışma durumunun etkin ve pilin iyi durumda olduğunu belirtir. Pil ömrünü (2xAAA dahildir) uzatmak için beş dakika hiçbir işlem yapılmaması durumunda bir zamanlayıcı FiberLert™ özelliğini kapatır.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Sağlam tasarım işlevsel bir cep klipsi içerir ve iki yıllık garantiyle desteklenir.</w:t>
            </w:r>
          </w:p>
        </w:tc>
      </w:tr>
      <w:bookmarkEnd w:id="0"/>
      <w:tr w:rsidR="00DA6D37" w:rsidRPr="0065280A" w14:paraId="24069ABE" w14:textId="77777777" w:rsidTr="7DCEF6D4">
        <w:trPr>
          <w:trHeight w:val="1323"/>
        </w:trPr>
        <w:tc>
          <w:tcPr>
            <w:tcW w:w="548" w:type="pct"/>
            <w:shd w:val="clear" w:color="auto" w:fill="auto"/>
          </w:tcPr>
          <w:p w14:paraId="1F21C6F9" w14:textId="77777777" w:rsidR="00DA6D37" w:rsidRPr="0065280A" w:rsidRDefault="00DA6D37" w:rsidP="00DA6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madde</w:t>
            </w:r>
          </w:p>
        </w:tc>
        <w:tc>
          <w:tcPr>
            <w:tcW w:w="4452" w:type="pct"/>
            <w:shd w:val="clear" w:color="auto" w:fill="auto"/>
          </w:tcPr>
          <w:p w14:paraId="032FB61B" w14:textId="3788EB06" w:rsidR="00DA6D37" w:rsidRPr="00493192" w:rsidRDefault="00DA6D37" w:rsidP="00DA6D3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Tekli mod ve çoklu mod fiber dalga boylarında optik gücü algılar (yaklaşık 850 - 1.625 nm termal aralığında)</w:t>
            </w:r>
          </w:p>
          <w:p w14:paraId="5869C947" w14:textId="3D06BB9E" w:rsidR="00DA6D37" w:rsidRPr="00493192" w:rsidRDefault="00DA6D37" w:rsidP="00DA6D3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Kurulum veya yorumlama gerektirmez. Işık ve ses, optik sinyalin varlığını belirtir</w:t>
            </w:r>
          </w:p>
          <w:p w14:paraId="6D5B8DB9" w14:textId="488C35D1" w:rsidR="00DA6D37" w:rsidRDefault="44F1AF5A" w:rsidP="24A9096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  <w:rFonts w:eastAsia="Arial"/>
              </w:rPr>
            </w:pPr>
            <w:r>
              <w:rPr>
                <w:sz w:val="20"/>
                <w:szCs w:val="20"/>
              </w:rPr>
              <w:t xml:space="preserve">"Temassız" dedektör kirlilik ve hasar riskini azaltır; bağlantı noktaları ve ara kablolar, SM, MM, UPC ve APC bağlantıları için uygundur</w:t>
            </w:r>
          </w:p>
          <w:p w14:paraId="682CCDDE" w14:textId="3305BAAA" w:rsidR="00DA6D37" w:rsidRPr="000815E2" w:rsidRDefault="00DA6D37" w:rsidP="000815E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LightBeat™ yanarak çalışma ve pil durumunu belirtir; pili korumak için beş dakika sonra kapanır (2xAAA dahildir)</w:t>
            </w:r>
          </w:p>
          <w:p w14:paraId="541E288D" w14:textId="63177E1D" w:rsidR="00DA6D37" w:rsidRPr="000815E2" w:rsidRDefault="25D5A2B6" w:rsidP="24A9096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İki yıl garanti</w:t>
            </w:r>
          </w:p>
        </w:tc>
      </w:tr>
      <w:bookmarkEnd w:id="1"/>
    </w:tbl>
    <w:p w14:paraId="2C6B259E" w14:textId="77777777" w:rsidR="00F7701B" w:rsidRPr="0065280A" w:rsidRDefault="00F7701B" w:rsidP="00F7701B">
      <w:pPr>
        <w:rPr>
          <w:sz w:val="20"/>
          <w:szCs w:val="20"/>
        </w:rPr>
      </w:pPr>
    </w:p>
    <w:p w14:paraId="4FB80F81" w14:textId="77777777" w:rsidR="004D6551" w:rsidRDefault="004D655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635"/>
      </w:tblGrid>
      <w:tr w:rsidR="00325F51" w:rsidRPr="0065280A" w14:paraId="77151BA7" w14:textId="77777777" w:rsidTr="7DCEF6D4">
        <w:tc>
          <w:tcPr>
            <w:tcW w:w="2155" w:type="dxa"/>
          </w:tcPr>
          <w:p w14:paraId="6A73CED7" w14:textId="7B482832" w:rsidR="00325F51" w:rsidRPr="0065280A" w:rsidRDefault="004D6551" w:rsidP="00325F51">
            <w:pPr>
              <w:rPr>
                <w:b/>
                <w:sz w:val="20"/>
                <w:szCs w:val="20"/>
              </w:rPr>
            </w:pPr>
            <w:r>
              <w:br w:type="page"/>
            </w:r>
            <w:r>
              <w:rPr>
                <w:b/>
                <w:sz w:val="20"/>
                <w:szCs w:val="20"/>
              </w:rPr>
              <w:t xml:space="preserve">Model</w:t>
            </w:r>
          </w:p>
        </w:tc>
        <w:tc>
          <w:tcPr>
            <w:tcW w:w="8635" w:type="dxa"/>
          </w:tcPr>
          <w:p w14:paraId="77D30FE1" w14:textId="77777777" w:rsidR="00325F51" w:rsidRPr="0065280A" w:rsidRDefault="00325F51" w:rsidP="00325F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Açıklama</w:t>
            </w:r>
          </w:p>
        </w:tc>
      </w:tr>
      <w:tr w:rsidR="00325F51" w:rsidRPr="0065280A" w14:paraId="313FBAC8" w14:textId="77777777" w:rsidTr="7DCEF6D4">
        <w:tc>
          <w:tcPr>
            <w:tcW w:w="2155" w:type="dxa"/>
          </w:tcPr>
          <w:p w14:paraId="7FD2CBAD" w14:textId="49C5E6C0" w:rsidR="00325F51" w:rsidRPr="0065280A" w:rsidRDefault="000815E2" w:rsidP="00081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FIBERLERT-125</w:t>
            </w:r>
          </w:p>
        </w:tc>
        <w:tc>
          <w:tcPr>
            <w:tcW w:w="8635" w:type="dxa"/>
          </w:tcPr>
          <w:p w14:paraId="54DCAF59" w14:textId="108BE09A" w:rsidR="00325F51" w:rsidRPr="0065280A" w:rsidRDefault="000815E2" w:rsidP="7EF2A56B">
            <w:pPr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rFonts w:asciiTheme="minorHAnsi" w:hAnsiTheme="minorHAnsi"/>
              </w:rPr>
              <w:t xml:space="preserve">FiberLert, 850 NM İLA 1.625 NM CANLI FİBER DEDEKTÖRÜ (2 AAA Alkalin pille birlikte gelir)</w:t>
            </w:r>
          </w:p>
        </w:tc>
      </w:tr>
      <w:tr w:rsidR="00325F51" w:rsidRPr="0065280A" w14:paraId="18C754D4" w14:textId="77777777" w:rsidTr="7DCEF6D4">
        <w:tc>
          <w:tcPr>
            <w:tcW w:w="2155" w:type="dxa"/>
          </w:tcPr>
          <w:p w14:paraId="74ED4F23" w14:textId="77777777" w:rsidR="00325F51" w:rsidRPr="0065280A" w:rsidRDefault="00325F51" w:rsidP="00325F51">
            <w:pPr>
              <w:rPr>
                <w:sz w:val="20"/>
                <w:szCs w:val="20"/>
              </w:rPr>
            </w:pPr>
          </w:p>
        </w:tc>
        <w:tc>
          <w:tcPr>
            <w:tcW w:w="8635" w:type="dxa"/>
          </w:tcPr>
          <w:p w14:paraId="4F01F2AA" w14:textId="77777777" w:rsidR="00325F51" w:rsidRPr="0065280A" w:rsidRDefault="00325F51" w:rsidP="00325F51">
            <w:pPr>
              <w:rPr>
                <w:sz w:val="20"/>
                <w:szCs w:val="20"/>
              </w:rPr>
            </w:pPr>
          </w:p>
        </w:tc>
      </w:tr>
    </w:tbl>
    <w:p w14:paraId="4D2A8490" w14:textId="77777777" w:rsidR="00325F51" w:rsidRPr="0065280A" w:rsidRDefault="00325F51">
      <w:pPr>
        <w:rPr>
          <w:sz w:val="20"/>
          <w:szCs w:val="20"/>
        </w:rPr>
      </w:pPr>
    </w:p>
    <w:sectPr w:rsidR="00325F51" w:rsidRPr="0065280A" w:rsidSect="00DF4D0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AC6E" w14:textId="77777777" w:rsidR="00C40C01" w:rsidRDefault="00C40C01">
      <w:r>
        <w:separator/>
      </w:r>
    </w:p>
  </w:endnote>
  <w:endnote w:type="continuationSeparator" w:id="0">
    <w:p w14:paraId="16D7B01B" w14:textId="77777777" w:rsidR="00C40C01" w:rsidRDefault="00C40C01">
      <w:r>
        <w:continuationSeparator/>
      </w:r>
    </w:p>
  </w:endnote>
  <w:endnote w:type="continuationNotice" w:id="1">
    <w:p w14:paraId="6CF50578" w14:textId="77777777" w:rsidR="00C40C01" w:rsidRDefault="00C40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6F46E85" w14:paraId="57E3FB70" w14:textId="77777777" w:rsidTr="66F46E85">
      <w:tc>
        <w:tcPr>
          <w:tcW w:w="3600" w:type="dxa"/>
        </w:tcPr>
        <w:p w14:paraId="5995DA7F" w14:textId="5982DDB0" w:rsidR="66F46E85" w:rsidRDefault="66F46E85" w:rsidP="66F46E85">
          <w:pPr>
            <w:pStyle w:val="Header"/>
            <w:ind w:left="-115"/>
          </w:pPr>
        </w:p>
      </w:tc>
      <w:tc>
        <w:tcPr>
          <w:tcW w:w="3600" w:type="dxa"/>
        </w:tcPr>
        <w:p w14:paraId="213A390F" w14:textId="1DD2FF86" w:rsidR="66F46E85" w:rsidRDefault="66F46E85" w:rsidP="66F46E85">
          <w:pPr>
            <w:pStyle w:val="Header"/>
            <w:jc w:val="center"/>
          </w:pPr>
        </w:p>
      </w:tc>
      <w:tc>
        <w:tcPr>
          <w:tcW w:w="3600" w:type="dxa"/>
        </w:tcPr>
        <w:p w14:paraId="72F18620" w14:textId="2CA1BF42" w:rsidR="66F46E85" w:rsidRDefault="66F46E85" w:rsidP="66F46E85">
          <w:pPr>
            <w:pStyle w:val="Header"/>
            <w:ind w:right="-115"/>
            <w:jc w:val="right"/>
          </w:pPr>
        </w:p>
      </w:tc>
    </w:tr>
  </w:tbl>
  <w:p w14:paraId="4F7AF5F5" w14:textId="2F131DF2" w:rsidR="66F46E85" w:rsidRDefault="66F46E85" w:rsidP="66F46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4ED9" w14:textId="77777777" w:rsidR="00C40C01" w:rsidRDefault="00C40C01">
      <w:r>
        <w:separator/>
      </w:r>
    </w:p>
  </w:footnote>
  <w:footnote w:type="continuationSeparator" w:id="0">
    <w:p w14:paraId="2B5BD2B8" w14:textId="77777777" w:rsidR="00C40C01" w:rsidRDefault="00C40C01">
      <w:r>
        <w:continuationSeparator/>
      </w:r>
    </w:p>
  </w:footnote>
  <w:footnote w:type="continuationNotice" w:id="1">
    <w:p w14:paraId="771AE1A1" w14:textId="77777777" w:rsidR="00C40C01" w:rsidRDefault="00C40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2ED4" w14:textId="08D32A4F" w:rsidR="00D51551" w:rsidRDefault="00D51551" w:rsidP="00D51551">
    <w:pPr>
      <w:pStyle w:val="Header"/>
      <w:jc w:val="right"/>
    </w:pPr>
    <w:r>
      <w:rPr>
        <w:color w:val="2B579A"/>
        <w:shd w:val="clear" w:color="auto" w:fill="E6E6E6"/>
      </w:rPr>
      <w:drawing>
        <wp:inline distT="0" distB="0" distL="0" distR="0" wp14:anchorId="565AA25F" wp14:editId="51E90A89">
          <wp:extent cx="865632" cy="28651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632" cy="28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0B510" w14:textId="5E5036C2" w:rsidR="66F46E85" w:rsidRDefault="66F46E85" w:rsidP="66F46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3895"/>
    <w:multiLevelType w:val="hybridMultilevel"/>
    <w:tmpl w:val="B5F4E47C"/>
    <w:lvl w:ilvl="0" w:tplc="E6AA9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8C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48D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8F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08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07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4D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864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E5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A63D4B"/>
    <w:multiLevelType w:val="hybridMultilevel"/>
    <w:tmpl w:val="6A7CB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3C02"/>
    <w:multiLevelType w:val="hybridMultilevel"/>
    <w:tmpl w:val="912EF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35A4B"/>
    <w:multiLevelType w:val="hybridMultilevel"/>
    <w:tmpl w:val="842E7CB0"/>
    <w:lvl w:ilvl="0" w:tplc="634E41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36544"/>
    <w:multiLevelType w:val="hybridMultilevel"/>
    <w:tmpl w:val="79E0EB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B720F"/>
    <w:multiLevelType w:val="hybridMultilevel"/>
    <w:tmpl w:val="12FCD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1B"/>
    <w:rsid w:val="00005A00"/>
    <w:rsid w:val="00007D1D"/>
    <w:rsid w:val="000357A7"/>
    <w:rsid w:val="0004683E"/>
    <w:rsid w:val="0005626C"/>
    <w:rsid w:val="000815E2"/>
    <w:rsid w:val="00087F33"/>
    <w:rsid w:val="000A2677"/>
    <w:rsid w:val="000C1EED"/>
    <w:rsid w:val="000C286C"/>
    <w:rsid w:val="000C544A"/>
    <w:rsid w:val="000D157C"/>
    <w:rsid w:val="000D62F9"/>
    <w:rsid w:val="000D76F1"/>
    <w:rsid w:val="000E2694"/>
    <w:rsid w:val="000E2B4B"/>
    <w:rsid w:val="00100EB3"/>
    <w:rsid w:val="00101D63"/>
    <w:rsid w:val="00116120"/>
    <w:rsid w:val="00131021"/>
    <w:rsid w:val="00135F29"/>
    <w:rsid w:val="001503D0"/>
    <w:rsid w:val="0017621B"/>
    <w:rsid w:val="00187FA0"/>
    <w:rsid w:val="00191AD7"/>
    <w:rsid w:val="001D09B5"/>
    <w:rsid w:val="001E5E19"/>
    <w:rsid w:val="002423AC"/>
    <w:rsid w:val="00251F83"/>
    <w:rsid w:val="0025269B"/>
    <w:rsid w:val="0026247B"/>
    <w:rsid w:val="002626D5"/>
    <w:rsid w:val="00265DCF"/>
    <w:rsid w:val="0027025F"/>
    <w:rsid w:val="00290383"/>
    <w:rsid w:val="002928D1"/>
    <w:rsid w:val="002A66C6"/>
    <w:rsid w:val="002B4898"/>
    <w:rsid w:val="002C2073"/>
    <w:rsid w:val="002D178D"/>
    <w:rsid w:val="002D7EF5"/>
    <w:rsid w:val="002E65E0"/>
    <w:rsid w:val="00325F51"/>
    <w:rsid w:val="0033547F"/>
    <w:rsid w:val="00335FFA"/>
    <w:rsid w:val="00343DE2"/>
    <w:rsid w:val="003453AC"/>
    <w:rsid w:val="00345B7D"/>
    <w:rsid w:val="0036403E"/>
    <w:rsid w:val="00370994"/>
    <w:rsid w:val="0037564D"/>
    <w:rsid w:val="0037700F"/>
    <w:rsid w:val="00391845"/>
    <w:rsid w:val="0039552D"/>
    <w:rsid w:val="00397025"/>
    <w:rsid w:val="003A3BE2"/>
    <w:rsid w:val="003C03D4"/>
    <w:rsid w:val="003D06FA"/>
    <w:rsid w:val="003E6636"/>
    <w:rsid w:val="003F225B"/>
    <w:rsid w:val="003F6092"/>
    <w:rsid w:val="00411958"/>
    <w:rsid w:val="004351FA"/>
    <w:rsid w:val="00440A3C"/>
    <w:rsid w:val="00460013"/>
    <w:rsid w:val="004878F2"/>
    <w:rsid w:val="00493192"/>
    <w:rsid w:val="00493246"/>
    <w:rsid w:val="0049422D"/>
    <w:rsid w:val="004A5F1D"/>
    <w:rsid w:val="004B2588"/>
    <w:rsid w:val="004D1A36"/>
    <w:rsid w:val="004D6551"/>
    <w:rsid w:val="004E013D"/>
    <w:rsid w:val="004E0587"/>
    <w:rsid w:val="004E09CC"/>
    <w:rsid w:val="004F33F1"/>
    <w:rsid w:val="004F6B61"/>
    <w:rsid w:val="00525198"/>
    <w:rsid w:val="00533636"/>
    <w:rsid w:val="00534E3F"/>
    <w:rsid w:val="00550027"/>
    <w:rsid w:val="00557EF2"/>
    <w:rsid w:val="00571BAD"/>
    <w:rsid w:val="00587738"/>
    <w:rsid w:val="005A227B"/>
    <w:rsid w:val="005A2AB4"/>
    <w:rsid w:val="005A3ACC"/>
    <w:rsid w:val="005A6E6E"/>
    <w:rsid w:val="005B1499"/>
    <w:rsid w:val="005C2ACD"/>
    <w:rsid w:val="005D0DC8"/>
    <w:rsid w:val="005D6201"/>
    <w:rsid w:val="005D7DB5"/>
    <w:rsid w:val="005E050F"/>
    <w:rsid w:val="005F249B"/>
    <w:rsid w:val="006025F0"/>
    <w:rsid w:val="0060613D"/>
    <w:rsid w:val="00623540"/>
    <w:rsid w:val="00646E91"/>
    <w:rsid w:val="0065280A"/>
    <w:rsid w:val="00652C19"/>
    <w:rsid w:val="0065615E"/>
    <w:rsid w:val="0065643B"/>
    <w:rsid w:val="00674095"/>
    <w:rsid w:val="006954AB"/>
    <w:rsid w:val="006A5B0F"/>
    <w:rsid w:val="006C2C6D"/>
    <w:rsid w:val="006C383A"/>
    <w:rsid w:val="006D7EA5"/>
    <w:rsid w:val="006E0002"/>
    <w:rsid w:val="00713694"/>
    <w:rsid w:val="00725A47"/>
    <w:rsid w:val="00727852"/>
    <w:rsid w:val="007364B6"/>
    <w:rsid w:val="0076550C"/>
    <w:rsid w:val="0078125B"/>
    <w:rsid w:val="00790623"/>
    <w:rsid w:val="007A1F21"/>
    <w:rsid w:val="007B6D89"/>
    <w:rsid w:val="007D4919"/>
    <w:rsid w:val="00802214"/>
    <w:rsid w:val="008406FB"/>
    <w:rsid w:val="008550E7"/>
    <w:rsid w:val="00863977"/>
    <w:rsid w:val="00881F03"/>
    <w:rsid w:val="00882CB3"/>
    <w:rsid w:val="00896921"/>
    <w:rsid w:val="00897A0D"/>
    <w:rsid w:val="008A0168"/>
    <w:rsid w:val="008A3B32"/>
    <w:rsid w:val="008A6679"/>
    <w:rsid w:val="0090158B"/>
    <w:rsid w:val="009068AF"/>
    <w:rsid w:val="0091144C"/>
    <w:rsid w:val="00912D24"/>
    <w:rsid w:val="009178D8"/>
    <w:rsid w:val="00920E7A"/>
    <w:rsid w:val="0094361B"/>
    <w:rsid w:val="00943B07"/>
    <w:rsid w:val="0094547B"/>
    <w:rsid w:val="00952460"/>
    <w:rsid w:val="00997838"/>
    <w:rsid w:val="009A3691"/>
    <w:rsid w:val="009B5F43"/>
    <w:rsid w:val="009C572B"/>
    <w:rsid w:val="009D1D8B"/>
    <w:rsid w:val="009D5681"/>
    <w:rsid w:val="009E43CE"/>
    <w:rsid w:val="009E7CAC"/>
    <w:rsid w:val="009F0839"/>
    <w:rsid w:val="009F3FE5"/>
    <w:rsid w:val="009F4E4E"/>
    <w:rsid w:val="009F76B0"/>
    <w:rsid w:val="00A02135"/>
    <w:rsid w:val="00A03895"/>
    <w:rsid w:val="00A11030"/>
    <w:rsid w:val="00A11DD2"/>
    <w:rsid w:val="00A21C61"/>
    <w:rsid w:val="00A32367"/>
    <w:rsid w:val="00A60A1B"/>
    <w:rsid w:val="00A714FE"/>
    <w:rsid w:val="00A80ED8"/>
    <w:rsid w:val="00A843E7"/>
    <w:rsid w:val="00A90279"/>
    <w:rsid w:val="00A96419"/>
    <w:rsid w:val="00AB4B4C"/>
    <w:rsid w:val="00AE5E22"/>
    <w:rsid w:val="00B110CB"/>
    <w:rsid w:val="00B2160B"/>
    <w:rsid w:val="00B23CD6"/>
    <w:rsid w:val="00B3290D"/>
    <w:rsid w:val="00B36B49"/>
    <w:rsid w:val="00B44331"/>
    <w:rsid w:val="00B472C4"/>
    <w:rsid w:val="00B540FC"/>
    <w:rsid w:val="00B62F85"/>
    <w:rsid w:val="00B66F87"/>
    <w:rsid w:val="00BA0853"/>
    <w:rsid w:val="00BA3647"/>
    <w:rsid w:val="00BB595C"/>
    <w:rsid w:val="00BF2AD5"/>
    <w:rsid w:val="00C02BBD"/>
    <w:rsid w:val="00C0496F"/>
    <w:rsid w:val="00C10A4D"/>
    <w:rsid w:val="00C40C01"/>
    <w:rsid w:val="00C450BA"/>
    <w:rsid w:val="00C479BA"/>
    <w:rsid w:val="00C56D41"/>
    <w:rsid w:val="00C7026B"/>
    <w:rsid w:val="00CA5353"/>
    <w:rsid w:val="00CB1495"/>
    <w:rsid w:val="00CC15FC"/>
    <w:rsid w:val="00CC1898"/>
    <w:rsid w:val="00CC21AD"/>
    <w:rsid w:val="00CC4E51"/>
    <w:rsid w:val="00CF672C"/>
    <w:rsid w:val="00D1010F"/>
    <w:rsid w:val="00D26016"/>
    <w:rsid w:val="00D2704E"/>
    <w:rsid w:val="00D30A33"/>
    <w:rsid w:val="00D357A2"/>
    <w:rsid w:val="00D476CA"/>
    <w:rsid w:val="00D51551"/>
    <w:rsid w:val="00D554E8"/>
    <w:rsid w:val="00D72B99"/>
    <w:rsid w:val="00D91016"/>
    <w:rsid w:val="00D97E8A"/>
    <w:rsid w:val="00DA2DB5"/>
    <w:rsid w:val="00DA6D37"/>
    <w:rsid w:val="00DB7527"/>
    <w:rsid w:val="00DC1B02"/>
    <w:rsid w:val="00DD33AA"/>
    <w:rsid w:val="00DF4D01"/>
    <w:rsid w:val="00E11A49"/>
    <w:rsid w:val="00E300D0"/>
    <w:rsid w:val="00E37066"/>
    <w:rsid w:val="00E4437C"/>
    <w:rsid w:val="00E44966"/>
    <w:rsid w:val="00E46226"/>
    <w:rsid w:val="00E5276D"/>
    <w:rsid w:val="00E55749"/>
    <w:rsid w:val="00E63213"/>
    <w:rsid w:val="00E846C3"/>
    <w:rsid w:val="00E90A4F"/>
    <w:rsid w:val="00EA4AEF"/>
    <w:rsid w:val="00EA6898"/>
    <w:rsid w:val="00EA68DD"/>
    <w:rsid w:val="00EB297B"/>
    <w:rsid w:val="00EB52D1"/>
    <w:rsid w:val="00EC2FF7"/>
    <w:rsid w:val="00ED4F80"/>
    <w:rsid w:val="00EE52BB"/>
    <w:rsid w:val="00EE6B3E"/>
    <w:rsid w:val="00EF0470"/>
    <w:rsid w:val="00EF13E7"/>
    <w:rsid w:val="00EF21E7"/>
    <w:rsid w:val="00F1102E"/>
    <w:rsid w:val="00F16354"/>
    <w:rsid w:val="00F17AB0"/>
    <w:rsid w:val="00F271C1"/>
    <w:rsid w:val="00F276D9"/>
    <w:rsid w:val="00F34725"/>
    <w:rsid w:val="00F37986"/>
    <w:rsid w:val="00F44481"/>
    <w:rsid w:val="00F51766"/>
    <w:rsid w:val="00F55CBE"/>
    <w:rsid w:val="00F6259A"/>
    <w:rsid w:val="00F73104"/>
    <w:rsid w:val="00F7701B"/>
    <w:rsid w:val="00F77268"/>
    <w:rsid w:val="00F82083"/>
    <w:rsid w:val="00FA0AA6"/>
    <w:rsid w:val="00FC0624"/>
    <w:rsid w:val="00FC3009"/>
    <w:rsid w:val="00FD214A"/>
    <w:rsid w:val="00FF1605"/>
    <w:rsid w:val="00FF2091"/>
    <w:rsid w:val="059C97E4"/>
    <w:rsid w:val="072EEBAA"/>
    <w:rsid w:val="08CB1A50"/>
    <w:rsid w:val="09742089"/>
    <w:rsid w:val="0A1168BD"/>
    <w:rsid w:val="0D620E2D"/>
    <w:rsid w:val="0DEB0EDC"/>
    <w:rsid w:val="0E0FBA41"/>
    <w:rsid w:val="11F755F7"/>
    <w:rsid w:val="1216D2A2"/>
    <w:rsid w:val="1258D439"/>
    <w:rsid w:val="148D8F0D"/>
    <w:rsid w:val="159074FB"/>
    <w:rsid w:val="186A746D"/>
    <w:rsid w:val="1A2606E2"/>
    <w:rsid w:val="1BD2584B"/>
    <w:rsid w:val="1BE5BF49"/>
    <w:rsid w:val="1C2D413E"/>
    <w:rsid w:val="1CB6E393"/>
    <w:rsid w:val="1E31DF41"/>
    <w:rsid w:val="1EBCB0A2"/>
    <w:rsid w:val="21AE6C70"/>
    <w:rsid w:val="22A44C58"/>
    <w:rsid w:val="230519A6"/>
    <w:rsid w:val="23459FE7"/>
    <w:rsid w:val="24A90963"/>
    <w:rsid w:val="25D5A2B6"/>
    <w:rsid w:val="268873E1"/>
    <w:rsid w:val="28FEF83B"/>
    <w:rsid w:val="2AA24903"/>
    <w:rsid w:val="2CEDA46C"/>
    <w:rsid w:val="3053F615"/>
    <w:rsid w:val="308DCD6B"/>
    <w:rsid w:val="3463D487"/>
    <w:rsid w:val="36778C9A"/>
    <w:rsid w:val="385C174C"/>
    <w:rsid w:val="38CB12B5"/>
    <w:rsid w:val="38F4F175"/>
    <w:rsid w:val="39576254"/>
    <w:rsid w:val="3A30F191"/>
    <w:rsid w:val="3B9943D4"/>
    <w:rsid w:val="3D2B1228"/>
    <w:rsid w:val="3D8CEE85"/>
    <w:rsid w:val="3E87DC02"/>
    <w:rsid w:val="40EF2D2A"/>
    <w:rsid w:val="4438EA0A"/>
    <w:rsid w:val="449D5AFE"/>
    <w:rsid w:val="44F1AF5A"/>
    <w:rsid w:val="46A43568"/>
    <w:rsid w:val="48423CC5"/>
    <w:rsid w:val="4B4A39F8"/>
    <w:rsid w:val="4C5F41FA"/>
    <w:rsid w:val="53B864FC"/>
    <w:rsid w:val="56ABCB0E"/>
    <w:rsid w:val="57782D34"/>
    <w:rsid w:val="57EF84C8"/>
    <w:rsid w:val="5914D880"/>
    <w:rsid w:val="5B5A57F6"/>
    <w:rsid w:val="5BFB5F05"/>
    <w:rsid w:val="5CCDBB28"/>
    <w:rsid w:val="5F829B1D"/>
    <w:rsid w:val="605BFFEF"/>
    <w:rsid w:val="60F78A4C"/>
    <w:rsid w:val="655B8BB7"/>
    <w:rsid w:val="66F46E85"/>
    <w:rsid w:val="699315D3"/>
    <w:rsid w:val="6A97F3D0"/>
    <w:rsid w:val="6C9346E2"/>
    <w:rsid w:val="726C6989"/>
    <w:rsid w:val="72A9497C"/>
    <w:rsid w:val="74D43EC6"/>
    <w:rsid w:val="7D5AF7A8"/>
    <w:rsid w:val="7DCEF6D4"/>
    <w:rsid w:val="7E31320D"/>
    <w:rsid w:val="7EF2A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A24D5"/>
  <w15:chartTrackingRefBased/>
  <w15:docId w15:val="{802D184B-C3EA-48F5-95A2-A8B34442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1B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7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4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40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7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9B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9BA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75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CE0315ED3B74581F13AA07534D156" ma:contentTypeVersion="13" ma:contentTypeDescription="Create a new document." ma:contentTypeScope="" ma:versionID="26024e679a5b3638802f3cacff166f05">
  <xsd:schema xmlns:xsd="http://www.w3.org/2001/XMLSchema" xmlns:xs="http://www.w3.org/2001/XMLSchema" xmlns:p="http://schemas.microsoft.com/office/2006/metadata/properties" xmlns:ns2="6d7406af-ac81-4e60-9d1c-acfd03985185" xmlns:ns3="22526b2a-a12e-4a3d-8438-63a4ccfb5209" targetNamespace="http://schemas.microsoft.com/office/2006/metadata/properties" ma:root="true" ma:fieldsID="6fce8888e8ed5b07c229d0533df57642" ns2:_="" ns3:_="">
    <xsd:import namespace="6d7406af-ac81-4e60-9d1c-acfd03985185"/>
    <xsd:import namespace="22526b2a-a12e-4a3d-8438-63a4ccfb5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406af-ac81-4e60-9d1c-acfd03985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26b2a-a12e-4a3d-8438-63a4ccfb5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67B6DA-BC14-4C38-9926-4D9AB890E2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74AB36-5B3B-4616-B986-3C2330711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DFDB6-B93B-4C88-A440-723FE5631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406af-ac81-4e60-9d1c-acfd03985185"/>
    <ds:schemaRef ds:uri="22526b2a-a12e-4a3d-8438-63a4ccfb5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B5E680-EDEC-490D-9277-EBF767375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304</Words>
  <Characters>1733</Characters>
  <Application>Microsoft Office Word</Application>
  <DocSecurity>0</DocSecurity>
  <Lines>14</Lines>
  <Paragraphs>4</Paragraphs>
  <ScaleCrop>false</ScaleCrop>
  <Company>Fluke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EtherScope™ Series II Network Assistant</dc:title>
  <dc:subject/>
  <dc:creator>Fluke</dc:creator>
  <cp:keywords/>
  <cp:lastModifiedBy>Mullins, Mark F</cp:lastModifiedBy>
  <cp:revision>34</cp:revision>
  <cp:lastPrinted>2018-02-20T22:19:00Z</cp:lastPrinted>
  <dcterms:created xsi:type="dcterms:W3CDTF">2021-08-05T04:02:00Z</dcterms:created>
  <dcterms:modified xsi:type="dcterms:W3CDTF">2021-09-05T02:44:00Z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CYE5HMCR4HDW-1293-14</vt:lpwstr>
  </property>
  <property fmtid="{D5CDD505-2E9C-101B-9397-08002B2CF9AE}" pid="3" name="_dlc_DocIdItemGuid">
    <vt:lpwstr>368c473a-168d-421d-a065-329f64ddedbb</vt:lpwstr>
  </property>
  <property fmtid="{D5CDD505-2E9C-101B-9397-08002B2CF9AE}" pid="4" name="_dlc_DocIdUrl">
    <vt:lpwstr>http://fnet.intranet.danahertm.com/mktg/DCI/_layouts/DocIdRedir.aspx?ID=CYE5HMCR4HDW-1293-14, CYE5HMCR4HDW-1293-14</vt:lpwstr>
  </property>
  <property fmtid="{D5CDD505-2E9C-101B-9397-08002B2CF9AE}" pid="5" name="ContentTypeId">
    <vt:lpwstr>0x010100FE7CE0315ED3B74581F13AA07534D156</vt:lpwstr>
  </property>
</Properties>
</file>